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6F5A" w14:textId="315EC7A8" w:rsidR="00FE5D8B" w:rsidRDefault="00FE5D8B" w:rsidP="00BE5EC2"/>
    <w:p w14:paraId="1C1E4715" w14:textId="269AEFC2" w:rsidR="00BE5EC2" w:rsidRDefault="00BE5EC2" w:rsidP="00BE5EC2"/>
    <w:p w14:paraId="50BAB22D" w14:textId="77777777" w:rsidR="00BE5EC2" w:rsidRPr="00BE5EC2" w:rsidRDefault="00BE5EC2" w:rsidP="00BE5EC2">
      <w:pPr>
        <w:rPr>
          <w:b/>
          <w:sz w:val="28"/>
          <w:szCs w:val="28"/>
        </w:rPr>
      </w:pPr>
      <w:r w:rsidRPr="00BE5EC2">
        <w:rPr>
          <w:b/>
          <w:sz w:val="28"/>
          <w:szCs w:val="28"/>
        </w:rPr>
        <w:t>FORM FPS3</w:t>
      </w:r>
    </w:p>
    <w:p w14:paraId="6387D1A7" w14:textId="77777777" w:rsidR="00BE5EC2" w:rsidRPr="00BE5EC2" w:rsidRDefault="00BE5EC2" w:rsidP="00BE5EC2">
      <w:pPr>
        <w:rPr>
          <w:b/>
          <w:sz w:val="24"/>
        </w:rPr>
      </w:pPr>
    </w:p>
    <w:p w14:paraId="6C82EFD2" w14:textId="77777777" w:rsidR="00BE5EC2" w:rsidRPr="00BE5EC2" w:rsidRDefault="00BE5EC2" w:rsidP="00BE5EC2">
      <w:pPr>
        <w:pBdr>
          <w:bottom w:val="single" w:sz="4" w:space="1" w:color="auto"/>
        </w:pBdr>
        <w:rPr>
          <w:b/>
          <w:sz w:val="24"/>
        </w:rPr>
      </w:pPr>
      <w:r w:rsidRPr="00BE5EC2">
        <w:rPr>
          <w:b/>
          <w:sz w:val="24"/>
        </w:rPr>
        <w:t xml:space="preserve">Notice by holder to Scheme Manager of a cessation in production under section 43 of the </w:t>
      </w:r>
      <w:bookmarkStart w:id="0" w:name="_Hlk531784397"/>
      <w:r w:rsidRPr="00BE5EC2">
        <w:rPr>
          <w:b/>
          <w:i/>
          <w:sz w:val="24"/>
        </w:rPr>
        <w:t>Mineral and Energy Resources (Financial Provisioning) Act 2018</w:t>
      </w:r>
      <w:bookmarkEnd w:id="0"/>
      <w:r w:rsidRPr="00BE5EC2">
        <w:rPr>
          <w:b/>
          <w:sz w:val="24"/>
        </w:rPr>
        <w:t xml:space="preserve"> </w:t>
      </w:r>
    </w:p>
    <w:p w14:paraId="76374AAA" w14:textId="77777777" w:rsidR="00BE5EC2" w:rsidRPr="00BE5EC2" w:rsidRDefault="00BE5EC2" w:rsidP="00BE5EC2">
      <w:pPr>
        <w:rPr>
          <w:sz w:val="24"/>
        </w:rPr>
      </w:pPr>
    </w:p>
    <w:p w14:paraId="423853DE" w14:textId="77777777" w:rsidR="00BE5EC2" w:rsidRPr="00BE5EC2" w:rsidRDefault="00BE5EC2" w:rsidP="00BE5EC2">
      <w:pPr>
        <w:rPr>
          <w:sz w:val="24"/>
        </w:rPr>
      </w:pPr>
    </w:p>
    <w:p w14:paraId="05F64C16" w14:textId="77777777" w:rsidR="00BE5EC2" w:rsidRPr="00BE5EC2" w:rsidRDefault="00BE5EC2" w:rsidP="00BE5EC2">
      <w:pPr>
        <w:rPr>
          <w:b/>
          <w:sz w:val="24"/>
        </w:rPr>
      </w:pPr>
      <w:r w:rsidRPr="00BE5EC2">
        <w:rPr>
          <w:b/>
          <w:sz w:val="24"/>
        </w:rPr>
        <w:t>Purpose</w:t>
      </w:r>
    </w:p>
    <w:p w14:paraId="54D192B3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Use this form if:</w:t>
      </w:r>
    </w:p>
    <w:p w14:paraId="06F5CB67" w14:textId="77777777" w:rsidR="00BE5EC2" w:rsidRPr="00BE5EC2" w:rsidRDefault="00BE5EC2" w:rsidP="00BE5EC2">
      <w:pPr>
        <w:numPr>
          <w:ilvl w:val="0"/>
          <w:numId w:val="4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>the resource activity for which an environmental authority is given is authorised under any of the following resource authorities:</w:t>
      </w:r>
    </w:p>
    <w:p w14:paraId="1E88D0E3" w14:textId="77777777" w:rsidR="00BE5EC2" w:rsidRPr="00BE5EC2" w:rsidRDefault="00BE5EC2" w:rsidP="00BE5EC2">
      <w:pPr>
        <w:numPr>
          <w:ilvl w:val="0"/>
          <w:numId w:val="2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 xml:space="preserve">a mining lease or mineral development licence under the </w:t>
      </w:r>
      <w:r w:rsidRPr="00BE5EC2">
        <w:rPr>
          <w:rFonts w:cstheme="minorHAnsi"/>
          <w:i/>
          <w:sz w:val="24"/>
        </w:rPr>
        <w:t>Mineral Resources Act 1989</w:t>
      </w:r>
      <w:r w:rsidRPr="00BE5EC2">
        <w:rPr>
          <w:rFonts w:cstheme="minorHAnsi"/>
          <w:sz w:val="24"/>
        </w:rPr>
        <w:t xml:space="preserve">; </w:t>
      </w:r>
    </w:p>
    <w:p w14:paraId="01C25D39" w14:textId="77777777" w:rsidR="00BE5EC2" w:rsidRPr="00BE5EC2" w:rsidRDefault="00BE5EC2" w:rsidP="00BE5EC2">
      <w:pPr>
        <w:numPr>
          <w:ilvl w:val="0"/>
          <w:numId w:val="2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 xml:space="preserve">an authority to prospect or petroleum lease under the </w:t>
      </w:r>
      <w:r w:rsidRPr="00BE5EC2">
        <w:rPr>
          <w:rFonts w:cstheme="minorHAnsi"/>
          <w:i/>
          <w:sz w:val="24"/>
        </w:rPr>
        <w:t>Petroleum and Gas (Production and Safety) Act 2004</w:t>
      </w:r>
      <w:r w:rsidRPr="00BE5EC2">
        <w:rPr>
          <w:rFonts w:cstheme="minorHAnsi"/>
          <w:sz w:val="24"/>
        </w:rPr>
        <w:t>;</w:t>
      </w:r>
    </w:p>
    <w:p w14:paraId="187F157F" w14:textId="77777777" w:rsidR="00BE5EC2" w:rsidRPr="00BE5EC2" w:rsidRDefault="00BE5EC2" w:rsidP="00BE5EC2">
      <w:pPr>
        <w:numPr>
          <w:ilvl w:val="0"/>
          <w:numId w:val="2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 xml:space="preserve">a geothermal production lease under the </w:t>
      </w:r>
      <w:r w:rsidRPr="00BE5EC2">
        <w:rPr>
          <w:rFonts w:cstheme="minorHAnsi"/>
          <w:i/>
          <w:sz w:val="24"/>
        </w:rPr>
        <w:t>Geothermal Energy Act 2010</w:t>
      </w:r>
      <w:r w:rsidRPr="00BE5EC2">
        <w:rPr>
          <w:rFonts w:cstheme="minorHAnsi"/>
          <w:sz w:val="24"/>
        </w:rPr>
        <w:t>; and</w:t>
      </w:r>
    </w:p>
    <w:p w14:paraId="5E686F0C" w14:textId="77777777" w:rsidR="00BE5EC2" w:rsidRPr="00BE5EC2" w:rsidRDefault="00BE5EC2" w:rsidP="00BE5EC2">
      <w:pPr>
        <w:numPr>
          <w:ilvl w:val="0"/>
          <w:numId w:val="4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>after the start of production under the resource authority:</w:t>
      </w:r>
    </w:p>
    <w:p w14:paraId="6778FBE5" w14:textId="77777777" w:rsidR="00BE5EC2" w:rsidRPr="00BE5EC2" w:rsidRDefault="00BE5EC2" w:rsidP="00BE5EC2">
      <w:pPr>
        <w:numPr>
          <w:ilvl w:val="0"/>
          <w:numId w:val="3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>the holder ceases production under the resource authority and does not expect production to restart within 6 months after the cessation; or</w:t>
      </w:r>
    </w:p>
    <w:p w14:paraId="2764668C" w14:textId="77777777" w:rsidR="00BE5EC2" w:rsidRPr="00BE5EC2" w:rsidRDefault="00BE5EC2" w:rsidP="00BE5EC2">
      <w:pPr>
        <w:numPr>
          <w:ilvl w:val="0"/>
          <w:numId w:val="3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>production has not been carried out under the resource authority for 6 months.</w:t>
      </w:r>
    </w:p>
    <w:p w14:paraId="51BEC0FB" w14:textId="77777777" w:rsidR="00BE5EC2" w:rsidRPr="00BE5EC2" w:rsidRDefault="00BE5EC2" w:rsidP="00BE5EC2">
      <w:pPr>
        <w:spacing w:before="120" w:after="120"/>
        <w:ind w:left="1500"/>
        <w:rPr>
          <w:rFonts w:ascii="Arial" w:hAnsi="Arial"/>
          <w:szCs w:val="18"/>
        </w:rPr>
      </w:pPr>
    </w:p>
    <w:p w14:paraId="1DFE38E6" w14:textId="77777777" w:rsidR="00BE5EC2" w:rsidRPr="00BE5EC2" w:rsidRDefault="00BE5EC2" w:rsidP="00BE5EC2">
      <w:pPr>
        <w:rPr>
          <w:b/>
          <w:sz w:val="24"/>
        </w:rPr>
      </w:pPr>
      <w:r w:rsidRPr="00BE5EC2">
        <w:rPr>
          <w:b/>
          <w:sz w:val="24"/>
        </w:rPr>
        <w:t>Who must give notice</w:t>
      </w:r>
    </w:p>
    <w:p w14:paraId="3CD98F9E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The holder of the authority.</w:t>
      </w:r>
    </w:p>
    <w:p w14:paraId="016785DB" w14:textId="77777777" w:rsidR="00BE5EC2" w:rsidRPr="00BE5EC2" w:rsidRDefault="00BE5EC2" w:rsidP="00BE5EC2">
      <w:pPr>
        <w:rPr>
          <w:b/>
          <w:sz w:val="24"/>
        </w:rPr>
      </w:pPr>
    </w:p>
    <w:p w14:paraId="7B86D3C8" w14:textId="77777777" w:rsidR="00BE5EC2" w:rsidRPr="00BE5EC2" w:rsidRDefault="00BE5EC2" w:rsidP="00BE5EC2">
      <w:pPr>
        <w:rPr>
          <w:b/>
          <w:sz w:val="24"/>
        </w:rPr>
      </w:pPr>
      <w:r w:rsidRPr="00BE5EC2">
        <w:rPr>
          <w:b/>
          <w:sz w:val="24"/>
        </w:rPr>
        <w:t xml:space="preserve">When must notice be given </w:t>
      </w:r>
    </w:p>
    <w:p w14:paraId="7E77ACD2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This notice must be given within 10 business days after:</w:t>
      </w:r>
    </w:p>
    <w:p w14:paraId="502DE1C2" w14:textId="77777777" w:rsidR="00BE5EC2" w:rsidRPr="00BE5EC2" w:rsidRDefault="00BE5EC2" w:rsidP="00BE5EC2">
      <w:pPr>
        <w:numPr>
          <w:ilvl w:val="0"/>
          <w:numId w:val="1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>for 2(a) – the holder ceases production; or</w:t>
      </w:r>
    </w:p>
    <w:p w14:paraId="0B3AB7DB" w14:textId="77777777" w:rsidR="00BE5EC2" w:rsidRPr="00BE5EC2" w:rsidRDefault="00BE5EC2" w:rsidP="00BE5EC2">
      <w:pPr>
        <w:numPr>
          <w:ilvl w:val="0"/>
          <w:numId w:val="1"/>
        </w:numPr>
        <w:spacing w:before="120" w:after="120"/>
        <w:rPr>
          <w:rFonts w:cstheme="minorHAnsi"/>
          <w:sz w:val="24"/>
        </w:rPr>
      </w:pPr>
      <w:r w:rsidRPr="00BE5EC2">
        <w:rPr>
          <w:rFonts w:cstheme="minorHAnsi"/>
          <w:sz w:val="24"/>
        </w:rPr>
        <w:t>for 2(b) – the end of the 6-month period.</w:t>
      </w:r>
    </w:p>
    <w:p w14:paraId="66AC0102" w14:textId="77777777" w:rsidR="00BE5EC2" w:rsidRPr="00BE5EC2" w:rsidRDefault="00BE5EC2" w:rsidP="00BE5EC2">
      <w:pPr>
        <w:spacing w:before="60" w:after="60"/>
        <w:rPr>
          <w:b/>
          <w:sz w:val="24"/>
        </w:rPr>
      </w:pPr>
      <w:r w:rsidRPr="00BE5EC2">
        <w:rPr>
          <w:b/>
          <w:sz w:val="24"/>
        </w:rPr>
        <w:br w:type="page"/>
      </w:r>
    </w:p>
    <w:p w14:paraId="6FAF8942" w14:textId="77777777" w:rsidR="00BE5EC2" w:rsidRPr="00BE5EC2" w:rsidRDefault="00BE5EC2" w:rsidP="00BE5EC2">
      <w:pPr>
        <w:rPr>
          <w:b/>
          <w:sz w:val="24"/>
        </w:rPr>
      </w:pPr>
    </w:p>
    <w:p w14:paraId="3C319985" w14:textId="77777777" w:rsidR="00BE5EC2" w:rsidRPr="00BE5EC2" w:rsidRDefault="00BE5EC2" w:rsidP="00BE5EC2">
      <w:pPr>
        <w:rPr>
          <w:b/>
          <w:sz w:val="24"/>
        </w:rPr>
      </w:pPr>
    </w:p>
    <w:p w14:paraId="55DB5690" w14:textId="77777777" w:rsidR="00BE5EC2" w:rsidRPr="00BE5EC2" w:rsidRDefault="00BE5EC2" w:rsidP="00BE5EC2">
      <w:pPr>
        <w:rPr>
          <w:b/>
          <w:sz w:val="24"/>
        </w:rPr>
      </w:pPr>
      <w:r w:rsidRPr="00BE5EC2">
        <w:rPr>
          <w:b/>
          <w:sz w:val="24"/>
        </w:rPr>
        <w:t>Holder details</w:t>
      </w:r>
    </w:p>
    <w:p w14:paraId="5A94A495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Name:</w:t>
      </w:r>
    </w:p>
    <w:p w14:paraId="137AD2E8" w14:textId="6A2BB84D" w:rsidR="00BE5EC2" w:rsidRDefault="00BE5EC2" w:rsidP="00BE5EC2">
      <w:pPr>
        <w:rPr>
          <w:sz w:val="24"/>
        </w:rPr>
      </w:pPr>
      <w:r w:rsidRPr="00BE5EC2">
        <w:rPr>
          <w:sz w:val="24"/>
        </w:rPr>
        <w:t>Address:</w:t>
      </w:r>
    </w:p>
    <w:p w14:paraId="2A4A4627" w14:textId="3B810EEA" w:rsidR="00CE6E9F" w:rsidRPr="00BE5EC2" w:rsidRDefault="00CE6E9F" w:rsidP="00BE5EC2">
      <w:pPr>
        <w:rPr>
          <w:sz w:val="24"/>
        </w:rPr>
      </w:pPr>
      <w:r>
        <w:rPr>
          <w:sz w:val="24"/>
        </w:rPr>
        <w:t>Email:</w:t>
      </w:r>
      <w:bookmarkStart w:id="1" w:name="_GoBack"/>
      <w:bookmarkEnd w:id="1"/>
    </w:p>
    <w:p w14:paraId="69F9BB89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Telephone number:</w:t>
      </w:r>
    </w:p>
    <w:p w14:paraId="2C9C6BE2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EA Number:</w:t>
      </w:r>
    </w:p>
    <w:p w14:paraId="07E39346" w14:textId="77777777" w:rsidR="00BE5EC2" w:rsidRPr="00BE5EC2" w:rsidRDefault="00BE5EC2" w:rsidP="00BE5EC2">
      <w:pPr>
        <w:rPr>
          <w:sz w:val="24"/>
        </w:rPr>
      </w:pPr>
    </w:p>
    <w:p w14:paraId="4095938F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When did production first cease?</w:t>
      </w:r>
      <w:r w:rsidRPr="00BE5EC2">
        <w:rPr>
          <w:sz w:val="24"/>
        </w:rPr>
        <w:tab/>
        <w:t>…………………………………….</w:t>
      </w:r>
    </w:p>
    <w:p w14:paraId="454AB874" w14:textId="77777777" w:rsidR="00BE5EC2" w:rsidRPr="00BE5EC2" w:rsidRDefault="00BE5EC2" w:rsidP="00BE5EC2">
      <w:pPr>
        <w:rPr>
          <w:sz w:val="24"/>
        </w:rPr>
      </w:pPr>
    </w:p>
    <w:p w14:paraId="5E931C5F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When is production expected to re-commence?</w:t>
      </w:r>
      <w:r w:rsidRPr="00BE5EC2">
        <w:rPr>
          <w:sz w:val="24"/>
        </w:rPr>
        <w:tab/>
        <w:t>………………………………….</w:t>
      </w:r>
    </w:p>
    <w:p w14:paraId="4CB4475F" w14:textId="77777777" w:rsidR="00BE5EC2" w:rsidRPr="00BE5EC2" w:rsidRDefault="00BE5EC2" w:rsidP="00BE5EC2">
      <w:pPr>
        <w:rPr>
          <w:sz w:val="24"/>
        </w:rPr>
      </w:pPr>
    </w:p>
    <w:p w14:paraId="3B22DFB4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 xml:space="preserve">Please attach details </w:t>
      </w:r>
    </w:p>
    <w:p w14:paraId="43ECCE36" w14:textId="77777777" w:rsidR="00BE5EC2" w:rsidRPr="00BE5EC2" w:rsidRDefault="00BE5EC2" w:rsidP="00BE5EC2">
      <w:pPr>
        <w:rPr>
          <w:sz w:val="24"/>
        </w:rPr>
      </w:pPr>
    </w:p>
    <w:p w14:paraId="6EAFD4F1" w14:textId="77777777" w:rsidR="00BE5EC2" w:rsidRPr="00BE5EC2" w:rsidRDefault="00BE5EC2" w:rsidP="00BE5EC2">
      <w:pPr>
        <w:rPr>
          <w:sz w:val="24"/>
        </w:rPr>
      </w:pPr>
    </w:p>
    <w:p w14:paraId="6A890DE5" w14:textId="77777777" w:rsidR="00BE5EC2" w:rsidRPr="00BE5EC2" w:rsidRDefault="00BE5EC2" w:rsidP="00BE5EC2">
      <w:pPr>
        <w:rPr>
          <w:sz w:val="24"/>
        </w:rPr>
      </w:pPr>
    </w:p>
    <w:p w14:paraId="26E6FD35" w14:textId="77777777" w:rsidR="00BE5EC2" w:rsidRPr="00BE5EC2" w:rsidRDefault="00BE5EC2" w:rsidP="00BE5EC2">
      <w:pPr>
        <w:rPr>
          <w:sz w:val="24"/>
        </w:rPr>
      </w:pPr>
    </w:p>
    <w:p w14:paraId="068CAD21" w14:textId="77777777" w:rsidR="00BE5EC2" w:rsidRPr="00BE5EC2" w:rsidRDefault="00BE5EC2" w:rsidP="00BE5EC2">
      <w:pPr>
        <w:rPr>
          <w:sz w:val="24"/>
        </w:rPr>
      </w:pPr>
    </w:p>
    <w:p w14:paraId="5DDA7A6B" w14:textId="77777777" w:rsidR="00BE5EC2" w:rsidRPr="00BE5EC2" w:rsidRDefault="00BE5EC2" w:rsidP="00BE5EC2">
      <w:pPr>
        <w:rPr>
          <w:sz w:val="24"/>
        </w:rPr>
      </w:pPr>
    </w:p>
    <w:p w14:paraId="219733E3" w14:textId="77777777" w:rsidR="00BE5EC2" w:rsidRPr="00BE5EC2" w:rsidRDefault="00BE5EC2" w:rsidP="00BE5EC2">
      <w:pPr>
        <w:rPr>
          <w:sz w:val="24"/>
        </w:rPr>
      </w:pPr>
    </w:p>
    <w:p w14:paraId="40AE5D36" w14:textId="77777777" w:rsidR="00BE5EC2" w:rsidRPr="00BE5EC2" w:rsidRDefault="00BE5EC2" w:rsidP="00BE5EC2">
      <w:pPr>
        <w:rPr>
          <w:sz w:val="24"/>
        </w:rPr>
      </w:pPr>
    </w:p>
    <w:p w14:paraId="7C3AC0F9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…………………………………………………</w:t>
      </w:r>
      <w:r w:rsidRPr="00BE5EC2">
        <w:rPr>
          <w:sz w:val="24"/>
        </w:rPr>
        <w:tab/>
      </w:r>
      <w:r w:rsidRPr="00BE5EC2">
        <w:rPr>
          <w:sz w:val="24"/>
        </w:rPr>
        <w:tab/>
        <w:t>…………………………</w:t>
      </w:r>
    </w:p>
    <w:p w14:paraId="750A00EC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Signed</w:t>
      </w:r>
      <w:r w:rsidRPr="00BE5EC2">
        <w:rPr>
          <w:sz w:val="24"/>
        </w:rPr>
        <w:tab/>
      </w:r>
      <w:r w:rsidRPr="00BE5EC2">
        <w:rPr>
          <w:sz w:val="24"/>
        </w:rPr>
        <w:tab/>
      </w:r>
      <w:r w:rsidRPr="00BE5EC2">
        <w:rPr>
          <w:sz w:val="24"/>
        </w:rPr>
        <w:tab/>
      </w:r>
      <w:r w:rsidRPr="00BE5EC2">
        <w:rPr>
          <w:sz w:val="24"/>
        </w:rPr>
        <w:tab/>
      </w:r>
      <w:r w:rsidRPr="00BE5EC2">
        <w:rPr>
          <w:sz w:val="24"/>
        </w:rPr>
        <w:tab/>
      </w:r>
      <w:r w:rsidRPr="00BE5EC2">
        <w:rPr>
          <w:sz w:val="24"/>
        </w:rPr>
        <w:tab/>
      </w:r>
      <w:r w:rsidRPr="00BE5EC2">
        <w:rPr>
          <w:sz w:val="24"/>
        </w:rPr>
        <w:tab/>
        <w:t>Date</w:t>
      </w:r>
    </w:p>
    <w:p w14:paraId="1BD2504D" w14:textId="77777777" w:rsidR="00BE5EC2" w:rsidRPr="00BE5EC2" w:rsidRDefault="00BE5EC2" w:rsidP="00BE5EC2">
      <w:pPr>
        <w:rPr>
          <w:sz w:val="24"/>
        </w:rPr>
      </w:pPr>
    </w:p>
    <w:p w14:paraId="6E5F6978" w14:textId="77777777" w:rsidR="00BE5EC2" w:rsidRPr="00BE5EC2" w:rsidRDefault="00BE5EC2" w:rsidP="00BE5EC2">
      <w:pPr>
        <w:rPr>
          <w:sz w:val="24"/>
        </w:rPr>
      </w:pPr>
    </w:p>
    <w:p w14:paraId="5D5E1614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…………………………………………………………………………………………….</w:t>
      </w:r>
    </w:p>
    <w:p w14:paraId="7D81F645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>Name and position</w:t>
      </w:r>
    </w:p>
    <w:p w14:paraId="7DD1C2AD" w14:textId="77777777" w:rsidR="00BE5EC2" w:rsidRPr="00BE5EC2" w:rsidRDefault="00BE5EC2" w:rsidP="00BE5EC2">
      <w:pPr>
        <w:rPr>
          <w:sz w:val="24"/>
        </w:rPr>
      </w:pPr>
    </w:p>
    <w:p w14:paraId="732672BC" w14:textId="77777777" w:rsidR="00BE5EC2" w:rsidRPr="00BE5EC2" w:rsidRDefault="00BE5EC2" w:rsidP="00BE5EC2">
      <w:pPr>
        <w:rPr>
          <w:sz w:val="24"/>
        </w:rPr>
      </w:pPr>
    </w:p>
    <w:p w14:paraId="250C9B4C" w14:textId="77777777" w:rsidR="00BE5EC2" w:rsidRPr="00BE5EC2" w:rsidRDefault="00BE5EC2" w:rsidP="00BE5EC2">
      <w:pPr>
        <w:rPr>
          <w:sz w:val="24"/>
        </w:rPr>
      </w:pPr>
    </w:p>
    <w:p w14:paraId="6FAE75F8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 xml:space="preserve">Please forward completed forms to </w:t>
      </w:r>
      <w:hyperlink r:id="rId12" w:history="1">
        <w:r w:rsidRPr="00BE5EC2">
          <w:rPr>
            <w:color w:val="6B9F25" w:themeColor="hyperlink"/>
            <w:sz w:val="24"/>
            <w:u w:val="single"/>
          </w:rPr>
          <w:t>fps@treasury.qld.gov.au</w:t>
        </w:r>
      </w:hyperlink>
      <w:r w:rsidRPr="00BE5EC2">
        <w:rPr>
          <w:sz w:val="24"/>
        </w:rPr>
        <w:t>.</w:t>
      </w:r>
    </w:p>
    <w:p w14:paraId="12F09040" w14:textId="77777777" w:rsidR="00BE5EC2" w:rsidRPr="00BE5EC2" w:rsidRDefault="00BE5EC2" w:rsidP="00BE5EC2">
      <w:pPr>
        <w:rPr>
          <w:sz w:val="24"/>
        </w:rPr>
      </w:pPr>
      <w:r w:rsidRPr="00BE5EC2">
        <w:rPr>
          <w:sz w:val="24"/>
        </w:rPr>
        <w:t xml:space="preserve">For more information on the Financial Provisioning Scheme please visit </w:t>
      </w:r>
      <w:hyperlink r:id="rId13" w:history="1">
        <w:r w:rsidRPr="00BE5EC2">
          <w:rPr>
            <w:color w:val="6B9F25" w:themeColor="hyperlink"/>
            <w:sz w:val="24"/>
            <w:u w:val="single"/>
          </w:rPr>
          <w:t>https://www.treasury.qld.gov.au/resource/financial-provisioning-scheme/</w:t>
        </w:r>
      </w:hyperlink>
      <w:r w:rsidRPr="00BE5EC2">
        <w:rPr>
          <w:sz w:val="24"/>
        </w:rPr>
        <w:t xml:space="preserve"> or contact one of the Scheme representatives on 3035 3551.</w:t>
      </w:r>
    </w:p>
    <w:p w14:paraId="31DAA31E" w14:textId="77777777" w:rsidR="00BE5EC2" w:rsidRPr="00BE5EC2" w:rsidRDefault="00BE5EC2" w:rsidP="00BE5EC2">
      <w:pPr>
        <w:rPr>
          <w:sz w:val="24"/>
        </w:rPr>
      </w:pPr>
    </w:p>
    <w:p w14:paraId="2BB094C2" w14:textId="77777777" w:rsidR="00BE5EC2" w:rsidRPr="00BE5EC2" w:rsidRDefault="00BE5EC2" w:rsidP="00BE5EC2">
      <w:pPr>
        <w:rPr>
          <w:sz w:val="24"/>
        </w:rPr>
      </w:pPr>
    </w:p>
    <w:p w14:paraId="3047AEAB" w14:textId="77777777" w:rsidR="00BE5EC2" w:rsidRPr="00BE5EC2" w:rsidRDefault="00BE5EC2" w:rsidP="00BE5EC2">
      <w:pPr>
        <w:rPr>
          <w:b/>
          <w:szCs w:val="20"/>
        </w:rPr>
      </w:pPr>
      <w:r w:rsidRPr="00BE5EC2">
        <w:rPr>
          <w:b/>
          <w:szCs w:val="20"/>
        </w:rPr>
        <w:t>Privacy Statement</w:t>
      </w:r>
    </w:p>
    <w:p w14:paraId="4904A7F1" w14:textId="7BB627F6" w:rsidR="00BE5EC2" w:rsidRPr="00BE5EC2" w:rsidRDefault="00BE5EC2" w:rsidP="00BE5EC2">
      <w:pPr>
        <w:rPr>
          <w:szCs w:val="20"/>
        </w:rPr>
      </w:pPr>
      <w:r w:rsidRPr="00BE5EC2">
        <w:rPr>
          <w:szCs w:val="20"/>
        </w:rPr>
        <w:t xml:space="preserve">The Scheme Manager is collecting </w:t>
      </w:r>
      <w:r w:rsidR="00BB09E5">
        <w:rPr>
          <w:szCs w:val="20"/>
        </w:rPr>
        <w:t xml:space="preserve">and using </w:t>
      </w:r>
      <w:r w:rsidRPr="00BE5EC2">
        <w:rPr>
          <w:szCs w:val="20"/>
        </w:rPr>
        <w:t xml:space="preserve">the information on this form to assist with the administration of the </w:t>
      </w:r>
      <w:r w:rsidRPr="00BE5EC2">
        <w:rPr>
          <w:i/>
          <w:szCs w:val="20"/>
        </w:rPr>
        <w:t>Mineral and Energy Resources (Financial Provisioning) Act 2018</w:t>
      </w:r>
      <w:r w:rsidRPr="00BE5EC2">
        <w:rPr>
          <w:szCs w:val="20"/>
        </w:rPr>
        <w:t>.  This collection is authorised under section 43 of that</w:t>
      </w:r>
      <w:bookmarkStart w:id="2" w:name="_Hlk4786237"/>
      <w:r w:rsidRPr="00BE5EC2">
        <w:rPr>
          <w:szCs w:val="20"/>
        </w:rPr>
        <w:t xml:space="preserve"> Act.  </w:t>
      </w:r>
      <w:bookmarkEnd w:id="2"/>
      <w:r w:rsidRPr="00BE5EC2">
        <w:rPr>
          <w:szCs w:val="20"/>
        </w:rPr>
        <w:t xml:space="preserve">Your information will </w:t>
      </w:r>
      <w:r w:rsidR="007923FA">
        <w:rPr>
          <w:szCs w:val="20"/>
        </w:rPr>
        <w:t xml:space="preserve">also </w:t>
      </w:r>
      <w:r w:rsidRPr="00BE5EC2">
        <w:rPr>
          <w:szCs w:val="20"/>
        </w:rPr>
        <w:t>be disclosed to</w:t>
      </w:r>
      <w:r w:rsidR="00BB09E5">
        <w:rPr>
          <w:szCs w:val="20"/>
        </w:rPr>
        <w:t>, and used by,</w:t>
      </w:r>
      <w:r w:rsidRPr="00BE5EC2">
        <w:rPr>
          <w:szCs w:val="20"/>
        </w:rPr>
        <w:t xml:space="preserve"> the Department of Natural Resources </w:t>
      </w:r>
      <w:r w:rsidR="006E26DB">
        <w:rPr>
          <w:szCs w:val="20"/>
        </w:rPr>
        <w:t>Mines and Energy to assist the department in ensuring that resource authority holders continue to comply with their obligations under the</w:t>
      </w:r>
      <w:r w:rsidR="006E26DB">
        <w:rPr>
          <w:i/>
          <w:szCs w:val="20"/>
        </w:rPr>
        <w:t xml:space="preserve"> Mineral Resources Act 1989, the Petroleum and Gas (Production and Safety) Act 2004</w:t>
      </w:r>
      <w:r w:rsidR="006E26DB">
        <w:rPr>
          <w:szCs w:val="20"/>
        </w:rPr>
        <w:t xml:space="preserve"> and the </w:t>
      </w:r>
      <w:r w:rsidR="006E26DB">
        <w:rPr>
          <w:i/>
          <w:szCs w:val="20"/>
        </w:rPr>
        <w:t>Mineral and Energy Resources (Common Provisions) Act 2014</w:t>
      </w:r>
      <w:r w:rsidRPr="00BE5EC2">
        <w:rPr>
          <w:szCs w:val="20"/>
        </w:rPr>
        <w:t>.  Your information will not be otherwise disclosed</w:t>
      </w:r>
      <w:r w:rsidR="00BB09E5">
        <w:rPr>
          <w:szCs w:val="20"/>
        </w:rPr>
        <w:t xml:space="preserve"> or used</w:t>
      </w:r>
      <w:r w:rsidRPr="00BE5EC2">
        <w:rPr>
          <w:szCs w:val="20"/>
        </w:rPr>
        <w:t xml:space="preserve"> unless authorised or required by law.</w:t>
      </w:r>
    </w:p>
    <w:p w14:paraId="52ABAFE0" w14:textId="77777777" w:rsidR="00BE5EC2" w:rsidRPr="00BE5EC2" w:rsidRDefault="00BE5EC2" w:rsidP="00BE5EC2">
      <w:pPr>
        <w:rPr>
          <w:sz w:val="24"/>
        </w:rPr>
      </w:pPr>
    </w:p>
    <w:p w14:paraId="20ECB9A0" w14:textId="77777777" w:rsidR="00BE5EC2" w:rsidRPr="00BE5EC2" w:rsidRDefault="00BE5EC2" w:rsidP="00BE5EC2"/>
    <w:sectPr w:rsidR="00BE5EC2" w:rsidRPr="00BE5EC2" w:rsidSect="005D55AA">
      <w:headerReference w:type="default" r:id="rId14"/>
      <w:footerReference w:type="even" r:id="rId15"/>
      <w:footerReference w:type="default" r:id="rId16"/>
      <w:pgSz w:w="11900" w:h="16840"/>
      <w:pgMar w:top="149" w:right="1440" w:bottom="661" w:left="1440" w:header="454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EAAA" w14:textId="77777777" w:rsidR="00297FF4" w:rsidRDefault="00297FF4" w:rsidP="00B11074">
      <w:r>
        <w:separator/>
      </w:r>
    </w:p>
  </w:endnote>
  <w:endnote w:type="continuationSeparator" w:id="0">
    <w:p w14:paraId="0B37A551" w14:textId="77777777" w:rsidR="00297FF4" w:rsidRDefault="00297FF4" w:rsidP="00B1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1964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E87C3" w14:textId="77777777" w:rsidR="00B11074" w:rsidRDefault="00B11074" w:rsidP="00782C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CB16EF" w14:textId="77777777" w:rsidR="00B11074" w:rsidRDefault="00B11074" w:rsidP="00B110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48BB" w14:textId="1B4695F3" w:rsidR="0043539C" w:rsidRDefault="004353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F2DE37" wp14:editId="47D58625">
              <wp:simplePos x="0" y="0"/>
              <wp:positionH relativeFrom="column">
                <wp:posOffset>2997200</wp:posOffset>
              </wp:positionH>
              <wp:positionV relativeFrom="paragraph">
                <wp:posOffset>126365</wp:posOffset>
              </wp:positionV>
              <wp:extent cx="2146300" cy="31966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319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3C266" w14:textId="5A51AB27" w:rsidR="0043539C" w:rsidRPr="00B11074" w:rsidRDefault="006E26DB" w:rsidP="0043539C">
                          <w:pPr>
                            <w:rPr>
                              <w:rFonts w:ascii="Open Sans" w:eastAsia="Times New Roman" w:hAnsi="Open Sans" w:cs="Open Sans"/>
                              <w:color w:val="4B4B4B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eastAsia="Times New Roman" w:hAnsi="Open Sans" w:cs="Open Sans"/>
                              <w:color w:val="4B4B4B"/>
                              <w:sz w:val="21"/>
                              <w:szCs w:val="21"/>
                            </w:rPr>
                            <w:t>FPS3 – May</w:t>
                          </w:r>
                          <w:r w:rsidR="00BE5EC2">
                            <w:rPr>
                              <w:rFonts w:ascii="Open Sans" w:eastAsia="Times New Roman" w:hAnsi="Open Sans" w:cs="Open Sans"/>
                              <w:color w:val="4B4B4B"/>
                              <w:sz w:val="21"/>
                              <w:szCs w:val="21"/>
                            </w:rPr>
                            <w:t xml:space="preserve"> 2019</w:t>
                          </w:r>
                        </w:p>
                        <w:p w14:paraId="6CB5A0A3" w14:textId="77777777" w:rsidR="0043539C" w:rsidRDefault="0043539C" w:rsidP="004353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D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pt;margin-top:9.95pt;width:169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" filled="f" stroked="f" strokeweight=".5pt">
              <v:textbox>
                <w:txbxContent>
                  <w:p w14:paraId="5033C266" w14:textId="5A51AB27" w:rsidR="0043539C" w:rsidRPr="00B11074" w:rsidRDefault="006E26DB" w:rsidP="0043539C">
                    <w:pPr>
                      <w:rPr>
                        <w:rFonts w:ascii="Open Sans" w:eastAsia="Times New Roman" w:hAnsi="Open Sans" w:cs="Open Sans"/>
                        <w:color w:val="4B4B4B"/>
                        <w:sz w:val="21"/>
                        <w:szCs w:val="21"/>
                      </w:rPr>
                    </w:pPr>
                    <w:r>
                      <w:rPr>
                        <w:rFonts w:ascii="Open Sans" w:eastAsia="Times New Roman" w:hAnsi="Open Sans" w:cs="Open Sans"/>
                        <w:color w:val="4B4B4B"/>
                        <w:sz w:val="21"/>
                        <w:szCs w:val="21"/>
                      </w:rPr>
                      <w:t>FPS3 – May</w:t>
                    </w:r>
                    <w:r w:rsidR="00BE5EC2">
                      <w:rPr>
                        <w:rFonts w:ascii="Open Sans" w:eastAsia="Times New Roman" w:hAnsi="Open Sans" w:cs="Open Sans"/>
                        <w:color w:val="4B4B4B"/>
                        <w:sz w:val="21"/>
                        <w:szCs w:val="21"/>
                      </w:rPr>
                      <w:t xml:space="preserve"> 2019</w:t>
                    </w:r>
                  </w:p>
                  <w:p w14:paraId="6CB5A0A3" w14:textId="77777777" w:rsidR="0043539C" w:rsidRDefault="0043539C" w:rsidP="004353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3E70" w14:textId="77777777" w:rsidR="00297FF4" w:rsidRDefault="00297FF4" w:rsidP="00B11074">
      <w:r>
        <w:separator/>
      </w:r>
    </w:p>
  </w:footnote>
  <w:footnote w:type="continuationSeparator" w:id="0">
    <w:p w14:paraId="37FB1E6E" w14:textId="77777777" w:rsidR="00297FF4" w:rsidRDefault="00297FF4" w:rsidP="00B1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36DA" w14:textId="77777777" w:rsidR="00B11074" w:rsidRDefault="006F66F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A87533" wp14:editId="5E0EDD21">
          <wp:simplePos x="0" y="0"/>
          <wp:positionH relativeFrom="column">
            <wp:posOffset>-911539</wp:posOffset>
          </wp:positionH>
          <wp:positionV relativeFrom="paragraph">
            <wp:posOffset>-288290</wp:posOffset>
          </wp:positionV>
          <wp:extent cx="7553676" cy="10684797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-015 AP Financial Provisioning - Scheme Manager - Template Desig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6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0E43"/>
    <w:multiLevelType w:val="hybridMultilevel"/>
    <w:tmpl w:val="885E064A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D170BAD"/>
    <w:multiLevelType w:val="hybridMultilevel"/>
    <w:tmpl w:val="EB98A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6E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C40A7"/>
    <w:multiLevelType w:val="hybridMultilevel"/>
    <w:tmpl w:val="2102923E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4"/>
    <w:rsid w:val="0000034C"/>
    <w:rsid w:val="0007141E"/>
    <w:rsid w:val="00151B0E"/>
    <w:rsid w:val="00297FF4"/>
    <w:rsid w:val="002A3D73"/>
    <w:rsid w:val="0043539C"/>
    <w:rsid w:val="004E35E7"/>
    <w:rsid w:val="00563D34"/>
    <w:rsid w:val="005D55AA"/>
    <w:rsid w:val="006719AD"/>
    <w:rsid w:val="006E26DB"/>
    <w:rsid w:val="006F66F2"/>
    <w:rsid w:val="00774AA9"/>
    <w:rsid w:val="007923FA"/>
    <w:rsid w:val="00793C18"/>
    <w:rsid w:val="008B21F8"/>
    <w:rsid w:val="009A38A0"/>
    <w:rsid w:val="00AF00F4"/>
    <w:rsid w:val="00AF2ABE"/>
    <w:rsid w:val="00B11074"/>
    <w:rsid w:val="00BB09E5"/>
    <w:rsid w:val="00BE5EC2"/>
    <w:rsid w:val="00C72209"/>
    <w:rsid w:val="00CE6E9F"/>
    <w:rsid w:val="00E83D5A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E66083"/>
  <w15:chartTrackingRefBased/>
  <w15:docId w15:val="{84088D76-F22B-A940-AF58-9E16252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0F4"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1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69BA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B4B4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9B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74"/>
  </w:style>
  <w:style w:type="paragraph" w:styleId="Footer">
    <w:name w:val="footer"/>
    <w:basedOn w:val="Normal"/>
    <w:link w:val="FooterChar"/>
    <w:uiPriority w:val="99"/>
    <w:unhideWhenUsed/>
    <w:rsid w:val="00B1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74"/>
  </w:style>
  <w:style w:type="paragraph" w:styleId="BalloonText">
    <w:name w:val="Balloon Text"/>
    <w:basedOn w:val="Normal"/>
    <w:link w:val="BalloonTextChar"/>
    <w:uiPriority w:val="99"/>
    <w:semiHidden/>
    <w:unhideWhenUsed/>
    <w:rsid w:val="00B110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B1107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074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B11074"/>
  </w:style>
  <w:style w:type="paragraph" w:styleId="NormalWeb">
    <w:name w:val="Normal (Web)"/>
    <w:basedOn w:val="Normal"/>
    <w:uiPriority w:val="99"/>
    <w:semiHidden/>
    <w:unhideWhenUsed/>
    <w:rsid w:val="00B110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11074"/>
    <w:rPr>
      <w:rFonts w:asciiTheme="majorHAnsi" w:eastAsiaTheme="majorEastAsia" w:hAnsiTheme="majorHAnsi" w:cstheme="majorBidi"/>
      <w:b/>
      <w:color w:val="469BA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AA9"/>
    <w:rPr>
      <w:rFonts w:asciiTheme="majorHAnsi" w:eastAsiaTheme="majorEastAsia" w:hAnsiTheme="majorHAnsi" w:cstheme="majorBidi"/>
      <w:b/>
      <w:color w:val="4B4B4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AA9"/>
    <w:rPr>
      <w:rFonts w:asciiTheme="majorHAnsi" w:eastAsiaTheme="majorEastAsia" w:hAnsiTheme="majorHAnsi" w:cstheme="majorBidi"/>
      <w:color w:val="469BA5"/>
    </w:rPr>
  </w:style>
  <w:style w:type="character" w:styleId="IntenseEmphasis">
    <w:name w:val="Intense Emphasis"/>
    <w:basedOn w:val="DefaultParagraphFont"/>
    <w:uiPriority w:val="21"/>
    <w:qFormat/>
    <w:rsid w:val="00774AA9"/>
    <w:rPr>
      <w:i/>
      <w:iCs/>
      <w:color w:val="469B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AA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469B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AA9"/>
    <w:rPr>
      <w:i/>
      <w:iCs/>
      <w:color w:val="469BA5"/>
    </w:rPr>
  </w:style>
  <w:style w:type="character" w:styleId="IntenseReference">
    <w:name w:val="Intense Reference"/>
    <w:basedOn w:val="DefaultParagraphFont"/>
    <w:uiPriority w:val="32"/>
    <w:qFormat/>
    <w:rsid w:val="00774AA9"/>
    <w:rPr>
      <w:b/>
      <w:bCs/>
      <w:smallCaps/>
      <w:color w:val="469BA5"/>
      <w:spacing w:val="5"/>
    </w:rPr>
  </w:style>
  <w:style w:type="table" w:styleId="TableGrid">
    <w:name w:val="Table Grid"/>
    <w:basedOn w:val="TableNormal"/>
    <w:uiPriority w:val="39"/>
    <w:rsid w:val="0077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74AA9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4AA9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4AA9"/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74AA9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74AA9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35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67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easury.qld.gov.au/resource/financial-provisioning-schem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ps@treasury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0AF854DA2FE0543BF0BA78437852E94" ma:contentTypeVersion="10" ma:contentTypeDescription="QTT document content type to be used in active sites" ma:contentTypeScope="" ma:versionID="e8d07d1c2417d5dea92b8f11b5f72f83">
  <xsd:schema xmlns:xsd="http://www.w3.org/2001/XMLSchema" xmlns:xs="http://www.w3.org/2001/XMLSchema" xmlns:p="http://schemas.microsoft.com/office/2006/metadata/properties" xmlns:ns2="http://schemas.microsoft.com/Sharepoint/v3" xmlns:ns3="ed493ecc-205b-4f1f-bd69-fede5017bafe" targetNamespace="http://schemas.microsoft.com/office/2006/metadata/properties" ma:root="true" ma:fieldsID="2d451a0a980197289009a25b3c6f96c5" ns2:_="" ns3:_="">
    <xsd:import namespace="http://schemas.microsoft.com/Sharepoint/v3"/>
    <xsd:import namespace="ed493ecc-205b-4f1f-bd69-fede5017bafe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3ecc-205b-4f1f-bd69-fede5017bafe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 ma:readOnly="false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 ma:readOnly="false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ed493ecc-205b-4f1f-bd69-fede5017bafe" xsi:nil="true"/>
    <Nexus_ReadOnly xmlns="ed493ecc-205b-4f1f-bd69-fede5017bafe" xsi:nil="true"/>
    <Nexus_SecurityClassification xmlns="ed493ecc-205b-4f1f-bd69-fede5017bafe">UNCLASSIFIED</Nexus_SecurityClassification>
    <Nexus_MetadataSummary xmlns="http://schemas.microsoft.com/Sharepoint/v3" xsi:nil="true"/>
    <_dlc_DocId xmlns="ed493ecc-205b-4f1f-bd69-fede5017bafe">BUSNFNPS-371982360-81</_dlc_DocId>
    <_dlc_DocIdUrl xmlns="ed493ecc-205b-4f1f-bd69-fede5017bafe">
      <Url>https://nexus.treasury.qld.gov.au/business/fps/_layouts/15/DocIdRedir.aspx?ID=BUSNFNPS-371982360-81</Url>
      <Description>BUSNFNPS-371982360-81</Description>
    </_dlc_DocIdUrl>
    <_dlc_DocIdPersistId xmlns="ed493ecc-205b-4f1f-bd69-fede5017bafe" xsi:nil="true"/>
  </documentManagement>
</p:properties>
</file>

<file path=customXml/itemProps1.xml><?xml version="1.0" encoding="utf-8"?>
<ds:datastoreItem xmlns:ds="http://schemas.openxmlformats.org/officeDocument/2006/customXml" ds:itemID="{B966767F-B50B-4113-83E5-65FE9D18939B}"/>
</file>

<file path=customXml/itemProps2.xml><?xml version="1.0" encoding="utf-8"?>
<ds:datastoreItem xmlns:ds="http://schemas.openxmlformats.org/officeDocument/2006/customXml" ds:itemID="{E815FFF0-D5BB-4847-8B1C-36AFB78D3D4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31C14B0-1E11-40A2-AC93-4ED4156D81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4F6B03-FB21-43B9-A023-ADA5F59E66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ED2BD-7AF6-424D-BDAF-A43C44BDD2AE}">
  <ds:schemaRefs>
    <ds:schemaRef ds:uri="http://purl.org/dc/elements/1.1/"/>
    <ds:schemaRef ds:uri="http://schemas.microsoft.com/office/2006/metadata/properties"/>
    <ds:schemaRef ds:uri="ed493ecc-205b-4f1f-bd69-fede5017baf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Turner</dc:creator>
  <cp:keywords/>
  <dc:description/>
  <cp:lastModifiedBy>Stephanie Ning</cp:lastModifiedBy>
  <cp:revision>7</cp:revision>
  <cp:lastPrinted>2019-05-16T00:45:00Z</cp:lastPrinted>
  <dcterms:created xsi:type="dcterms:W3CDTF">2019-04-07T22:56:00Z</dcterms:created>
  <dcterms:modified xsi:type="dcterms:W3CDTF">2019-05-16T02:11:00Z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0x010100C7BD08439FA548A39DD6F4EEA9A4DD920028A0CA45A385418C914557FFC286F13E0040AF854DA2FE0543BF0BA78437852E94</vt:lpwstr>
  </property>
  <property fmtid="{D5CDD505-2E9C-101B-9397-08002B2CF9AE}" pid="3" name="_dlc_DocIdItemGuid">
    <vt:lpwstr>f64cf37e-de9b-4053-bd4b-e272e399e8f2</vt:lpwstr>
  </property>
</Properties>
</file>