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91" w:rsidRPr="00943791" w:rsidRDefault="00943791" w:rsidP="00943791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3791">
        <w:rPr>
          <w:rFonts w:ascii="Arial" w:hAnsi="Arial" w:cs="Arial"/>
          <w:b/>
          <w:sz w:val="28"/>
          <w:szCs w:val="28"/>
        </w:rPr>
        <w:t>Consultation Paper 1: Development of Operational Regulations</w:t>
      </w:r>
    </w:p>
    <w:p w:rsidR="006E1BFB" w:rsidRPr="00943791" w:rsidRDefault="00943791" w:rsidP="00943791">
      <w:pPr>
        <w:jc w:val="both"/>
        <w:rPr>
          <w:rFonts w:ascii="Arial" w:hAnsi="Arial" w:cs="Arial"/>
          <w:sz w:val="24"/>
          <w:szCs w:val="28"/>
        </w:rPr>
      </w:pPr>
      <w:r w:rsidRPr="00943791">
        <w:rPr>
          <w:rFonts w:ascii="Arial" w:hAnsi="Arial" w:cs="Arial"/>
          <w:b/>
          <w:sz w:val="24"/>
          <w:szCs w:val="28"/>
        </w:rPr>
        <w:t xml:space="preserve">Please Note: </w:t>
      </w:r>
      <w:r w:rsidR="006E1BFB" w:rsidRPr="00943791">
        <w:rPr>
          <w:rFonts w:ascii="Arial" w:hAnsi="Arial" w:cs="Arial"/>
          <w:b/>
          <w:sz w:val="24"/>
          <w:szCs w:val="28"/>
        </w:rPr>
        <w:t>All responses will be treated as confidential and will not be published.</w:t>
      </w:r>
    </w:p>
    <w:p w:rsidR="006E1BFB" w:rsidRPr="00943791" w:rsidRDefault="006E1BFB" w:rsidP="00943791">
      <w:pPr>
        <w:jc w:val="both"/>
        <w:rPr>
          <w:rFonts w:ascii="Arial" w:hAnsi="Arial" w:cs="Arial"/>
        </w:rPr>
      </w:pPr>
      <w:r w:rsidRPr="00943791">
        <w:rPr>
          <w:rFonts w:ascii="Arial" w:hAnsi="Arial" w:cs="Arial"/>
        </w:rPr>
        <w:t>Organisation</w:t>
      </w:r>
      <w:r w:rsidR="001608F0" w:rsidRPr="00943791">
        <w:rPr>
          <w:rFonts w:ascii="Arial" w:hAnsi="Arial" w:cs="Arial"/>
        </w:rPr>
        <w:t>/Business Name</w:t>
      </w:r>
      <w:r w:rsidRPr="00943791">
        <w:rPr>
          <w:rFonts w:ascii="Arial" w:hAnsi="Arial" w:cs="Arial"/>
        </w:rPr>
        <w:t>:</w:t>
      </w:r>
      <w:r w:rsidRPr="00943791">
        <w:rPr>
          <w:rFonts w:ascii="Arial" w:hAnsi="Arial" w:cs="Arial"/>
        </w:rPr>
        <w:tab/>
      </w:r>
    </w:p>
    <w:p w:rsidR="006E1BFB" w:rsidRPr="00943791" w:rsidRDefault="006E1BFB" w:rsidP="00943791">
      <w:pPr>
        <w:tabs>
          <w:tab w:val="left" w:pos="4819"/>
        </w:tabs>
        <w:jc w:val="both"/>
        <w:rPr>
          <w:rFonts w:ascii="Arial" w:hAnsi="Arial" w:cs="Arial"/>
        </w:rPr>
      </w:pPr>
      <w:r w:rsidRPr="00943791">
        <w:rPr>
          <w:rFonts w:ascii="Arial" w:hAnsi="Arial" w:cs="Arial"/>
        </w:rPr>
        <w:t>Contact Name:</w:t>
      </w:r>
      <w:r w:rsidRPr="00943791">
        <w:rPr>
          <w:rFonts w:ascii="Arial" w:hAnsi="Arial" w:cs="Arial"/>
        </w:rPr>
        <w:tab/>
        <w:t xml:space="preserve">Contact </w:t>
      </w:r>
      <w:r w:rsidR="00943791">
        <w:rPr>
          <w:rFonts w:ascii="Arial" w:hAnsi="Arial" w:cs="Arial"/>
        </w:rPr>
        <w:t>Details</w:t>
      </w:r>
      <w:r w:rsidRPr="00943791">
        <w:rPr>
          <w:rFonts w:ascii="Arial" w:hAnsi="Arial" w:cs="Arial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0E5E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501548793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1: Application - Financial Viability (section 13(3)(c)(ii))</w:t>
            </w:r>
            <w:bookmarkEnd w:id="1"/>
          </w:p>
          <w:p w:rsidR="007F498F" w:rsidRDefault="00770DA8" w:rsidP="007F498F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825064" w:rsidRPr="00BA0F6A" w:rsidRDefault="00825064" w:rsidP="00BA0F6A">
            <w:pPr>
              <w:pStyle w:val="ListParagraph"/>
              <w:numPr>
                <w:ilvl w:val="0"/>
                <w:numId w:val="1"/>
              </w:numPr>
              <w:ind w:left="782" w:hanging="357"/>
              <w:rPr>
                <w:rFonts w:ascii="Arial" w:hAnsi="Arial" w:cs="Arial"/>
                <w:sz w:val="22"/>
                <w:szCs w:val="22"/>
              </w:rPr>
            </w:pPr>
            <w:r w:rsidRPr="00BA0F6A">
              <w:rPr>
                <w:rFonts w:ascii="Arial" w:hAnsi="Arial" w:cs="Arial"/>
                <w:sz w:val="22"/>
                <w:szCs w:val="22"/>
              </w:rPr>
              <w:t>The suitability of the definition of financial viability.</w:t>
            </w:r>
          </w:p>
          <w:p w:rsidR="00825064" w:rsidRPr="00BA0F6A" w:rsidRDefault="00825064" w:rsidP="00BA0F6A">
            <w:pPr>
              <w:pStyle w:val="ListParagraph"/>
              <w:numPr>
                <w:ilvl w:val="0"/>
                <w:numId w:val="1"/>
              </w:numPr>
              <w:ind w:left="782" w:hanging="357"/>
              <w:rPr>
                <w:rFonts w:ascii="Arial" w:hAnsi="Arial" w:cs="Arial"/>
                <w:sz w:val="22"/>
                <w:szCs w:val="22"/>
              </w:rPr>
            </w:pPr>
            <w:r w:rsidRPr="00BA0F6A">
              <w:rPr>
                <w:rFonts w:ascii="Arial" w:hAnsi="Arial" w:cs="Arial"/>
                <w:sz w:val="22"/>
                <w:szCs w:val="22"/>
              </w:rPr>
              <w:t>The list of proposed documents.</w:t>
            </w:r>
          </w:p>
          <w:p w:rsidR="00825064" w:rsidRPr="00BA0F6A" w:rsidRDefault="00825064" w:rsidP="00BA0F6A">
            <w:pPr>
              <w:pStyle w:val="ListParagraph"/>
              <w:numPr>
                <w:ilvl w:val="0"/>
                <w:numId w:val="1"/>
              </w:numPr>
              <w:ind w:left="782" w:hanging="357"/>
              <w:rPr>
                <w:rFonts w:ascii="Arial" w:hAnsi="Arial" w:cs="Arial"/>
                <w:sz w:val="22"/>
                <w:szCs w:val="22"/>
              </w:rPr>
            </w:pPr>
            <w:r w:rsidRPr="00BA0F6A">
              <w:rPr>
                <w:rFonts w:ascii="Arial" w:hAnsi="Arial" w:cs="Arial"/>
                <w:sz w:val="22"/>
                <w:szCs w:val="22"/>
              </w:rPr>
              <w:t>The suitability of a high/low weighted document approach.</w:t>
            </w:r>
          </w:p>
          <w:p w:rsidR="00825064" w:rsidRPr="00BA0F6A" w:rsidRDefault="00825064" w:rsidP="00BA0F6A">
            <w:pPr>
              <w:pStyle w:val="ListParagraph"/>
              <w:numPr>
                <w:ilvl w:val="0"/>
                <w:numId w:val="1"/>
              </w:numPr>
              <w:ind w:left="782" w:hanging="357"/>
              <w:rPr>
                <w:rFonts w:ascii="Arial" w:hAnsi="Arial" w:cs="Arial"/>
                <w:sz w:val="22"/>
                <w:szCs w:val="22"/>
              </w:rPr>
            </w:pPr>
            <w:r w:rsidRPr="00BA0F6A">
              <w:rPr>
                <w:rFonts w:ascii="Arial" w:hAnsi="Arial" w:cs="Arial"/>
                <w:sz w:val="22"/>
                <w:szCs w:val="22"/>
              </w:rPr>
              <w:t>The number of documents to be provided.</w:t>
            </w:r>
          </w:p>
          <w:p w:rsidR="00440E5E" w:rsidRPr="007F498F" w:rsidRDefault="00825064" w:rsidP="00BA0F6A">
            <w:pPr>
              <w:pStyle w:val="ListParagraph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BA0F6A">
              <w:rPr>
                <w:rFonts w:ascii="Arial" w:hAnsi="Arial" w:cs="Arial"/>
                <w:sz w:val="22"/>
                <w:szCs w:val="22"/>
              </w:rPr>
              <w:t>The proposed approach for new businesses.</w:t>
            </w:r>
          </w:p>
        </w:tc>
      </w:tr>
      <w:tr w:rsidR="00440E5E" w:rsidRPr="00943791" w:rsidTr="00240781">
        <w:tc>
          <w:tcPr>
            <w:tcW w:w="9634" w:type="dxa"/>
            <w:shd w:val="clear" w:color="auto" w:fill="auto"/>
          </w:tcPr>
          <w:p w:rsidR="00440E5E" w:rsidRPr="00943791" w:rsidRDefault="00440E5E" w:rsidP="00943791">
            <w:pPr>
              <w:jc w:val="both"/>
              <w:rPr>
                <w:rFonts w:ascii="Arial" w:hAnsi="Arial" w:cs="Arial"/>
              </w:rPr>
            </w:pPr>
          </w:p>
          <w:p w:rsidR="00E13BBC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440E5E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2" w:name="_Toc501548794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2: Application – Compliance with the Work Health and Safety Act 2011</w:t>
            </w:r>
            <w:r w:rsidR="0067352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(WHS Act)</w:t>
            </w:r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the Workers Compensation and Rehabilitation Act</w:t>
            </w:r>
            <w:bookmarkEnd w:id="2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2003</w:t>
            </w:r>
            <w:r w:rsidR="0067352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(WCR Act)</w:t>
            </w:r>
          </w:p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825064" w:rsidRPr="00825064" w:rsidRDefault="00825064" w:rsidP="0082506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064">
              <w:rPr>
                <w:rFonts w:ascii="Arial" w:hAnsi="Arial" w:cs="Arial"/>
                <w:sz w:val="22"/>
                <w:szCs w:val="22"/>
              </w:rPr>
              <w:t>The suitability of this approach for demonstrating compliance with the WHS Act and WCR Act.</w:t>
            </w:r>
          </w:p>
          <w:p w:rsidR="00825064" w:rsidRPr="00825064" w:rsidRDefault="00825064" w:rsidP="0082506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064">
              <w:rPr>
                <w:rFonts w:ascii="Arial" w:hAnsi="Arial" w:cs="Arial"/>
                <w:sz w:val="22"/>
                <w:szCs w:val="22"/>
              </w:rPr>
              <w:t>The appropriateness of the list of safety laws.</w:t>
            </w:r>
          </w:p>
          <w:p w:rsidR="00825064" w:rsidRPr="00825064" w:rsidRDefault="00825064" w:rsidP="0082506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064">
              <w:rPr>
                <w:rFonts w:ascii="Arial" w:hAnsi="Arial" w:cs="Arial"/>
                <w:sz w:val="22"/>
                <w:szCs w:val="22"/>
              </w:rPr>
              <w:t>Any additional questions that should be asked of applicants.</w:t>
            </w:r>
          </w:p>
          <w:p w:rsidR="00440E5E" w:rsidRPr="007F498F" w:rsidRDefault="00825064" w:rsidP="007F498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25064">
              <w:rPr>
                <w:rFonts w:ascii="Arial" w:hAnsi="Arial" w:cs="Arial"/>
                <w:sz w:val="22"/>
                <w:szCs w:val="22"/>
              </w:rPr>
              <w:t>Any other criteria by which compliance with the WHS Act and WCR Act could be assessed.</w:t>
            </w:r>
          </w:p>
        </w:tc>
      </w:tr>
      <w:tr w:rsidR="00440E5E" w:rsidRPr="00943791" w:rsidTr="00173C0B">
        <w:tc>
          <w:tcPr>
            <w:tcW w:w="9634" w:type="dxa"/>
          </w:tcPr>
          <w:p w:rsidR="00440E5E" w:rsidRPr="00943791" w:rsidRDefault="00440E5E" w:rsidP="00943791">
            <w:pPr>
              <w:jc w:val="both"/>
              <w:rPr>
                <w:rFonts w:ascii="Arial" w:hAnsi="Arial" w:cs="Arial"/>
              </w:rPr>
            </w:pPr>
          </w:p>
          <w:p w:rsidR="00E13BBC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440E5E" w:rsidRPr="00943791" w:rsidTr="00DE683C">
        <w:trPr>
          <w:trHeight w:val="1900"/>
        </w:trPr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3" w:name="_Toc501548795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3: Application – Additional requirements (section 13(3)(c)(iv))</w:t>
            </w:r>
            <w:bookmarkEnd w:id="3"/>
          </w:p>
          <w:p w:rsidR="007F498F" w:rsidRDefault="00770DA8" w:rsidP="007F498F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825064" w:rsidRPr="00DE683C" w:rsidRDefault="00825064" w:rsidP="00DE683C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E683C">
              <w:rPr>
                <w:rFonts w:ascii="Arial" w:hAnsi="Arial" w:cs="Arial"/>
                <w:sz w:val="22"/>
                <w:szCs w:val="22"/>
              </w:rPr>
              <w:t>The specific questions to be asked at application about any other relevant laws.</w:t>
            </w:r>
          </w:p>
          <w:p w:rsidR="00825064" w:rsidRPr="00DE683C" w:rsidRDefault="00825064" w:rsidP="00DE683C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E683C">
              <w:rPr>
                <w:rFonts w:ascii="Arial" w:hAnsi="Arial" w:cs="Arial"/>
                <w:sz w:val="22"/>
                <w:szCs w:val="22"/>
              </w:rPr>
              <w:t xml:space="preserve">The proposed questions in respect of the </w:t>
            </w:r>
            <w:r w:rsidRPr="00DE683C">
              <w:rPr>
                <w:rFonts w:ascii="Arial" w:hAnsi="Arial" w:cs="Arial"/>
                <w:i/>
                <w:sz w:val="22"/>
                <w:szCs w:val="22"/>
              </w:rPr>
              <w:t>Fair Work Act 2009</w:t>
            </w:r>
            <w:r w:rsidRPr="00DE683C">
              <w:rPr>
                <w:rFonts w:ascii="Arial" w:hAnsi="Arial" w:cs="Arial"/>
                <w:sz w:val="22"/>
                <w:szCs w:val="22"/>
              </w:rPr>
              <w:t xml:space="preserve"> (Cth) and the </w:t>
            </w:r>
            <w:r w:rsidRPr="00DE683C">
              <w:rPr>
                <w:rFonts w:ascii="Arial" w:hAnsi="Arial" w:cs="Arial"/>
                <w:i/>
                <w:sz w:val="22"/>
                <w:szCs w:val="22"/>
              </w:rPr>
              <w:t xml:space="preserve">Migration Act 1958 (Cth) </w:t>
            </w:r>
            <w:r w:rsidRPr="00DE683C">
              <w:rPr>
                <w:rFonts w:ascii="Arial" w:hAnsi="Arial" w:cs="Arial"/>
                <w:sz w:val="22"/>
                <w:szCs w:val="22"/>
              </w:rPr>
              <w:t>are appropriate to establish compliance.</w:t>
            </w:r>
          </w:p>
          <w:p w:rsidR="00825064" w:rsidRPr="00DE683C" w:rsidRDefault="00825064" w:rsidP="00DE683C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E683C">
              <w:rPr>
                <w:rFonts w:ascii="Arial" w:hAnsi="Arial" w:cs="Arial"/>
                <w:sz w:val="22"/>
                <w:szCs w:val="22"/>
              </w:rPr>
              <w:t>The proposed approaches for industry and location.</w:t>
            </w:r>
          </w:p>
          <w:p w:rsidR="00440E5E" w:rsidRPr="007F498F" w:rsidRDefault="00825064" w:rsidP="00DE683C">
            <w:pPr>
              <w:pStyle w:val="ListParagraph"/>
              <w:numPr>
                <w:ilvl w:val="0"/>
                <w:numId w:val="19"/>
              </w:numPr>
              <w:ind w:left="714" w:hanging="357"/>
            </w:pPr>
            <w:r w:rsidRPr="00DE683C">
              <w:rPr>
                <w:rFonts w:ascii="Arial" w:hAnsi="Arial" w:cs="Arial"/>
                <w:sz w:val="22"/>
                <w:szCs w:val="22"/>
              </w:rPr>
              <w:t>Any other matter that may be relevant for application.</w:t>
            </w:r>
          </w:p>
        </w:tc>
      </w:tr>
      <w:tr w:rsidR="00440E5E" w:rsidRPr="00943791" w:rsidTr="00173C0B">
        <w:tc>
          <w:tcPr>
            <w:tcW w:w="9634" w:type="dxa"/>
          </w:tcPr>
          <w:p w:rsidR="00440E5E" w:rsidRPr="00943791" w:rsidRDefault="00440E5E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440E5E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4" w:name="_Toc501548796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4:  Fit and proper person (section 13(3)(c)(iv) and section 27(2))</w:t>
            </w:r>
            <w:bookmarkEnd w:id="4"/>
          </w:p>
          <w:p w:rsidR="007F498F" w:rsidRDefault="00770DA8" w:rsidP="007F498F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770DA8" w:rsidP="007F49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appropriateness of the additional information requirements for the fit and proper person test</w:t>
            </w:r>
            <w:r w:rsidR="006530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0E5E" w:rsidRPr="007F498F" w:rsidRDefault="00770DA8" w:rsidP="007F49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Any other matters the Chief Executive should have regard to in respect to the fit and proper person test</w:t>
            </w:r>
            <w:r w:rsidR="00653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0E5E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5" w:name="_Toc501548797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5: Reporting (sections 31 and 32)</w:t>
            </w:r>
            <w:bookmarkEnd w:id="5"/>
          </w:p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770DA8" w:rsidP="007F49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suitability of the additional details proposed for reporting</w:t>
            </w:r>
            <w:r w:rsidR="006530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498F" w:rsidRPr="007F498F" w:rsidRDefault="00770DA8" w:rsidP="007F49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appropriatene</w:t>
            </w:r>
            <w:r w:rsidR="007F498F" w:rsidRPr="007F498F">
              <w:rPr>
                <w:rFonts w:ascii="Arial" w:hAnsi="Arial" w:cs="Arial"/>
                <w:sz w:val="22"/>
                <w:szCs w:val="22"/>
              </w:rPr>
              <w:t>ss of the accommodation register</w:t>
            </w:r>
            <w:r w:rsidR="006530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DA8" w:rsidRPr="007F498F" w:rsidRDefault="008250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70DA8" w:rsidRPr="007F498F">
              <w:rPr>
                <w:rFonts w:ascii="Arial" w:hAnsi="Arial" w:cs="Arial"/>
                <w:sz w:val="22"/>
                <w:szCs w:val="22"/>
              </w:rPr>
              <w:t>ny further details should be prescribed for reporting or for the accommodation register</w:t>
            </w:r>
            <w:r w:rsidR="003708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77645E" w:rsidP="00943791">
            <w:pPr>
              <w:tabs>
                <w:tab w:val="left" w:pos="1625"/>
              </w:tabs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ab/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6" w:name="_Toc501548798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6: Notification of a prescribed change in circumstances (section 40)</w:t>
            </w:r>
            <w:bookmarkEnd w:id="6"/>
          </w:p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770DA8" w:rsidP="007F498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suitability of these approaches to prescribed changes in circumstances</w:t>
            </w:r>
            <w:r w:rsidR="004B7A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DA8" w:rsidRPr="007F498F" w:rsidRDefault="0082506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70DA8" w:rsidRPr="007F498F">
              <w:rPr>
                <w:rFonts w:ascii="Arial" w:hAnsi="Arial" w:cs="Arial"/>
                <w:sz w:val="22"/>
                <w:szCs w:val="22"/>
              </w:rPr>
              <w:t>ny other matter should be included as a prescribed change</w:t>
            </w:r>
            <w:r w:rsidR="003708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770DA8" w:rsidRPr="00943791" w:rsidRDefault="00770DA8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7" w:name="_Toc501548799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7: Public register of licences (section 103)</w:t>
            </w:r>
            <w:bookmarkEnd w:id="7"/>
          </w:p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7F498F" w:rsidP="007F498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</w:rPr>
            </w:pPr>
            <w:r w:rsidRPr="007F498F">
              <w:rPr>
                <w:rFonts w:ascii="Arial" w:hAnsi="Arial" w:cs="Arial"/>
                <w:sz w:val="22"/>
              </w:rPr>
              <w:t>T</w:t>
            </w:r>
            <w:r w:rsidR="00770DA8" w:rsidRPr="007F498F">
              <w:rPr>
                <w:rFonts w:ascii="Arial" w:hAnsi="Arial" w:cs="Arial"/>
                <w:sz w:val="22"/>
              </w:rPr>
              <w:t xml:space="preserve">he suitability of these approaches </w:t>
            </w:r>
            <w:r w:rsidR="00F36385" w:rsidRPr="007F498F">
              <w:rPr>
                <w:rFonts w:ascii="Arial" w:hAnsi="Arial" w:cs="Arial"/>
                <w:sz w:val="22"/>
              </w:rPr>
              <w:t>to the public register of licenc</w:t>
            </w:r>
            <w:r w:rsidR="00770DA8" w:rsidRPr="007F498F">
              <w:rPr>
                <w:rFonts w:ascii="Arial" w:hAnsi="Arial" w:cs="Arial"/>
                <w:sz w:val="22"/>
              </w:rPr>
              <w:t>es</w:t>
            </w:r>
            <w:r w:rsidR="004B7AD8">
              <w:rPr>
                <w:rFonts w:ascii="Arial" w:hAnsi="Arial" w:cs="Arial"/>
                <w:sz w:val="22"/>
              </w:rPr>
              <w:t>.</w:t>
            </w:r>
          </w:p>
          <w:p w:rsidR="00770DA8" w:rsidRPr="007F498F" w:rsidRDefault="008250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770DA8" w:rsidRPr="00BA0F6A">
              <w:rPr>
                <w:rFonts w:ascii="Arial" w:hAnsi="Arial" w:cs="Arial"/>
                <w:sz w:val="22"/>
              </w:rPr>
              <w:t>ny other matter should be included on the public register</w:t>
            </w:r>
            <w:r w:rsidR="003708C8">
              <w:rPr>
                <w:rFonts w:ascii="Arial" w:hAnsi="Arial" w:cs="Arial"/>
                <w:sz w:val="22"/>
              </w:rPr>
              <w:t>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E13BBC" w:rsidRPr="00943791" w:rsidRDefault="00E13BBC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8" w:name="_Toc501548800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8: Record keeping (section 108)</w:t>
            </w:r>
            <w:bookmarkEnd w:id="8"/>
          </w:p>
          <w:p w:rsidR="00E13BBC" w:rsidRPr="00943791" w:rsidRDefault="00E13BBC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E13BBC" w:rsidP="007F498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suitability of these approaches to recordkeeping</w:t>
            </w:r>
            <w:r w:rsidR="004B7A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DA8" w:rsidRPr="007F498F" w:rsidRDefault="00825064" w:rsidP="007F498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13BBC" w:rsidRPr="007F498F">
              <w:rPr>
                <w:rFonts w:ascii="Arial" w:hAnsi="Arial" w:cs="Arial"/>
                <w:sz w:val="22"/>
                <w:szCs w:val="22"/>
              </w:rPr>
              <w:t>ny other matter should be considered</w:t>
            </w:r>
            <w:r w:rsidR="003708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E13BBC" w:rsidRPr="00943791" w:rsidRDefault="00E13BBC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9" w:name="_Toc501548801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9: Renewal, restoration and application fees (Sections 13(c)(i), 18(2)(b) and 19(2)(b))</w:t>
            </w:r>
            <w:bookmarkEnd w:id="9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E13BBC" w:rsidRPr="00943791" w:rsidRDefault="00E13BBC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comments on:</w:t>
            </w:r>
          </w:p>
          <w:p w:rsidR="007F498F" w:rsidRPr="007F498F" w:rsidRDefault="00E13BBC" w:rsidP="007F49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tiered fee band approach</w:t>
            </w:r>
            <w:r w:rsidR="004B7A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DA8" w:rsidRPr="007F498F" w:rsidRDefault="00E13BBC" w:rsidP="007F49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The criteria for each fee class</w:t>
            </w:r>
            <w:r w:rsidR="004B7A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770DA8" w:rsidRPr="00943791" w:rsidTr="00240781">
        <w:tc>
          <w:tcPr>
            <w:tcW w:w="9634" w:type="dxa"/>
            <w:shd w:val="clear" w:color="auto" w:fill="FF9933"/>
          </w:tcPr>
          <w:p w:rsidR="00E13BBC" w:rsidRPr="00943791" w:rsidRDefault="00E13BBC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0" w:name="_Toc501548802"/>
            <w:r w:rsidRPr="00943791">
              <w:rPr>
                <w:rFonts w:ascii="Arial" w:hAnsi="Arial" w:cs="Arial"/>
                <w:b/>
                <w:color w:val="auto"/>
                <w:sz w:val="22"/>
                <w:szCs w:val="22"/>
              </w:rPr>
              <w:t>10: Waiver of particular requirements to give information (Section 102)</w:t>
            </w:r>
            <w:bookmarkEnd w:id="10"/>
          </w:p>
          <w:p w:rsidR="00E13BBC" w:rsidRPr="00943791" w:rsidRDefault="00E13BBC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Please provide feedback on:</w:t>
            </w:r>
          </w:p>
          <w:p w:rsidR="007F498F" w:rsidRPr="007F498F" w:rsidRDefault="00825064" w:rsidP="007F498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13BBC" w:rsidRPr="007F498F">
              <w:rPr>
                <w:rFonts w:ascii="Arial" w:hAnsi="Arial" w:cs="Arial"/>
                <w:sz w:val="22"/>
                <w:szCs w:val="22"/>
              </w:rPr>
              <w:t xml:space="preserve"> components of the listed accreditations and schemes could be considered as meeting critical elements of the labour hire scheme</w:t>
            </w:r>
            <w:r w:rsidR="003708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498F" w:rsidRPr="007F498F" w:rsidRDefault="00E13BBC" w:rsidP="007F498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Other schemes which should be considered and which information requirement could be waived</w:t>
            </w:r>
            <w:r w:rsidR="003708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498F" w:rsidRPr="007F498F" w:rsidRDefault="00E13BBC" w:rsidP="007F498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8F">
              <w:rPr>
                <w:rFonts w:ascii="Arial" w:hAnsi="Arial" w:cs="Arial"/>
                <w:sz w:val="22"/>
                <w:szCs w:val="22"/>
              </w:rPr>
              <w:t>Any unintended consequences in recognising these schemes as meeting some aspects of the labour hire scheme</w:t>
            </w:r>
            <w:r w:rsidR="004B7A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DA8" w:rsidRPr="00BA0F6A" w:rsidRDefault="00E13BBC" w:rsidP="00BA0F6A">
            <w:pPr>
              <w:jc w:val="both"/>
              <w:rPr>
                <w:rFonts w:ascii="Arial" w:hAnsi="Arial" w:cs="Arial"/>
              </w:rPr>
            </w:pPr>
            <w:r w:rsidRPr="00BA0F6A">
              <w:rPr>
                <w:rFonts w:ascii="Arial" w:hAnsi="Arial" w:cs="Arial"/>
              </w:rPr>
              <w:t>Please note: When discussing an accreditation or licence to be recognised as meeting some of the requirements under the labour hire scheme, please provide detail of all relevant provisions and elements.</w:t>
            </w:r>
          </w:p>
        </w:tc>
      </w:tr>
      <w:tr w:rsidR="00770DA8" w:rsidRPr="00943791" w:rsidTr="00173C0B">
        <w:tc>
          <w:tcPr>
            <w:tcW w:w="9634" w:type="dxa"/>
          </w:tcPr>
          <w:p w:rsidR="00770DA8" w:rsidRPr="00943791" w:rsidRDefault="00770DA8" w:rsidP="00943791">
            <w:pPr>
              <w:jc w:val="both"/>
              <w:rPr>
                <w:rFonts w:ascii="Arial" w:hAnsi="Arial" w:cs="Arial"/>
              </w:rPr>
            </w:pP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173C0B" w:rsidRPr="00943791" w:rsidRDefault="00173C0B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943791" w:rsidRPr="00943791" w:rsidTr="00943791">
        <w:trPr>
          <w:trHeight w:val="70"/>
        </w:trPr>
        <w:tc>
          <w:tcPr>
            <w:tcW w:w="9634" w:type="dxa"/>
            <w:shd w:val="clear" w:color="auto" w:fill="FF9933"/>
          </w:tcPr>
          <w:p w:rsidR="00943791" w:rsidRPr="00943791" w:rsidRDefault="00943791" w:rsidP="00943791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Any other proposals/feedback </w:t>
            </w:r>
          </w:p>
          <w:p w:rsidR="00943791" w:rsidRPr="00943791" w:rsidRDefault="00943791" w:rsidP="00943791">
            <w:pPr>
              <w:jc w:val="both"/>
              <w:rPr>
                <w:rFonts w:ascii="Arial" w:hAnsi="Arial" w:cs="Arial"/>
              </w:rPr>
            </w:pPr>
          </w:p>
        </w:tc>
      </w:tr>
      <w:tr w:rsidR="00943791" w:rsidRPr="00943791" w:rsidTr="00943791">
        <w:trPr>
          <w:trHeight w:val="70"/>
        </w:trPr>
        <w:tc>
          <w:tcPr>
            <w:tcW w:w="9634" w:type="dxa"/>
            <w:shd w:val="clear" w:color="auto" w:fill="FFFFFF" w:themeFill="background1"/>
          </w:tcPr>
          <w:p w:rsidR="00943791" w:rsidRPr="00943791" w:rsidRDefault="00943791" w:rsidP="00943791">
            <w:pPr>
              <w:spacing w:before="240"/>
              <w:jc w:val="both"/>
              <w:rPr>
                <w:rFonts w:ascii="Arial" w:hAnsi="Arial" w:cs="Arial"/>
              </w:rPr>
            </w:pPr>
            <w:r w:rsidRPr="00943791">
              <w:rPr>
                <w:rFonts w:ascii="Arial" w:hAnsi="Arial" w:cs="Arial"/>
              </w:rPr>
              <w:t>Insert your response here</w:t>
            </w:r>
          </w:p>
          <w:p w:rsidR="00943791" w:rsidRPr="00943791" w:rsidRDefault="00943791" w:rsidP="00943791">
            <w:pPr>
              <w:rPr>
                <w:lang w:val="en-US"/>
              </w:rPr>
            </w:pPr>
          </w:p>
        </w:tc>
      </w:tr>
    </w:tbl>
    <w:p w:rsidR="009E23C1" w:rsidRPr="00943791" w:rsidRDefault="00E14CD0" w:rsidP="00943791">
      <w:pPr>
        <w:jc w:val="both"/>
        <w:rPr>
          <w:rFonts w:ascii="Arial" w:hAnsi="Arial" w:cs="Arial"/>
        </w:rPr>
      </w:pPr>
    </w:p>
    <w:sectPr w:rsidR="009E23C1" w:rsidRPr="00943791" w:rsidSect="0077645E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B" w:rsidRDefault="00A6019B" w:rsidP="00240781">
      <w:pPr>
        <w:spacing w:after="0" w:line="240" w:lineRule="auto"/>
      </w:pPr>
      <w:r>
        <w:separator/>
      </w:r>
    </w:p>
  </w:endnote>
  <w:endnote w:type="continuationSeparator" w:id="0">
    <w:p w:rsidR="00A6019B" w:rsidRDefault="00A6019B" w:rsidP="002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1" w:rsidRPr="00240781" w:rsidRDefault="00240781" w:rsidP="00240781">
    <w:pPr>
      <w:pStyle w:val="Footer"/>
      <w:tabs>
        <w:tab w:val="clear" w:pos="9026"/>
        <w:tab w:val="right" w:pos="9498"/>
      </w:tabs>
      <w:rPr>
        <w:sz w:val="18"/>
        <w:szCs w:val="18"/>
      </w:rPr>
    </w:pPr>
    <w:r w:rsidRPr="00240781">
      <w:rPr>
        <w:sz w:val="18"/>
        <w:szCs w:val="18"/>
      </w:rPr>
      <w:t>Labour Hire Licensing Scheme Queensland – Consultation Paper 1: Development of Operational Regulations</w:t>
    </w:r>
    <w:r>
      <w:rPr>
        <w:sz w:val="18"/>
        <w:szCs w:val="18"/>
      </w:rPr>
      <w:tab/>
      <w:t xml:space="preserve">Page </w:t>
    </w:r>
    <w:r w:rsidRPr="00240781">
      <w:rPr>
        <w:sz w:val="18"/>
        <w:szCs w:val="18"/>
      </w:rPr>
      <w:fldChar w:fldCharType="begin"/>
    </w:r>
    <w:r w:rsidRPr="00240781">
      <w:rPr>
        <w:sz w:val="18"/>
        <w:szCs w:val="18"/>
      </w:rPr>
      <w:instrText xml:space="preserve"> PAGE   \* MERGEFORMAT </w:instrText>
    </w:r>
    <w:r w:rsidRPr="00240781">
      <w:rPr>
        <w:sz w:val="18"/>
        <w:szCs w:val="18"/>
      </w:rPr>
      <w:fldChar w:fldCharType="separate"/>
    </w:r>
    <w:r w:rsidR="00E14CD0">
      <w:rPr>
        <w:noProof/>
        <w:sz w:val="18"/>
        <w:szCs w:val="18"/>
      </w:rPr>
      <w:t>1</w:t>
    </w:r>
    <w:r w:rsidRPr="0024078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B" w:rsidRDefault="00A6019B" w:rsidP="00240781">
      <w:pPr>
        <w:spacing w:after="0" w:line="240" w:lineRule="auto"/>
      </w:pPr>
      <w:r>
        <w:separator/>
      </w:r>
    </w:p>
  </w:footnote>
  <w:footnote w:type="continuationSeparator" w:id="0">
    <w:p w:rsidR="00A6019B" w:rsidRDefault="00A6019B" w:rsidP="0024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EC9"/>
    <w:multiLevelType w:val="hybridMultilevel"/>
    <w:tmpl w:val="3FE47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16C5"/>
    <w:multiLevelType w:val="hybridMultilevel"/>
    <w:tmpl w:val="61FEC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2FAD"/>
    <w:multiLevelType w:val="hybridMultilevel"/>
    <w:tmpl w:val="5BA2B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67719"/>
    <w:multiLevelType w:val="hybridMultilevel"/>
    <w:tmpl w:val="7C1A6E78"/>
    <w:lvl w:ilvl="0" w:tplc="5AF4A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D0E60"/>
    <w:multiLevelType w:val="hybridMultilevel"/>
    <w:tmpl w:val="623A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83B"/>
    <w:multiLevelType w:val="hybridMultilevel"/>
    <w:tmpl w:val="5F70A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57C4"/>
    <w:multiLevelType w:val="hybridMultilevel"/>
    <w:tmpl w:val="75A0F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7108F"/>
    <w:multiLevelType w:val="hybridMultilevel"/>
    <w:tmpl w:val="74184EE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2004AC9"/>
    <w:multiLevelType w:val="hybridMultilevel"/>
    <w:tmpl w:val="95A0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5635A"/>
    <w:multiLevelType w:val="hybridMultilevel"/>
    <w:tmpl w:val="83F83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4BAA"/>
    <w:multiLevelType w:val="hybridMultilevel"/>
    <w:tmpl w:val="E1F65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920F7"/>
    <w:multiLevelType w:val="hybridMultilevel"/>
    <w:tmpl w:val="C87A7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395C"/>
    <w:multiLevelType w:val="hybridMultilevel"/>
    <w:tmpl w:val="61BAA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B72E2"/>
    <w:multiLevelType w:val="hybridMultilevel"/>
    <w:tmpl w:val="15EAF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5583"/>
    <w:multiLevelType w:val="hybridMultilevel"/>
    <w:tmpl w:val="73980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73D3C"/>
    <w:multiLevelType w:val="hybridMultilevel"/>
    <w:tmpl w:val="C644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2F96"/>
    <w:multiLevelType w:val="hybridMultilevel"/>
    <w:tmpl w:val="9D96F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16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E"/>
    <w:rsid w:val="00076951"/>
    <w:rsid w:val="001608F0"/>
    <w:rsid w:val="00173C0B"/>
    <w:rsid w:val="001C0F16"/>
    <w:rsid w:val="00240781"/>
    <w:rsid w:val="003708C8"/>
    <w:rsid w:val="003E465D"/>
    <w:rsid w:val="003F2AC8"/>
    <w:rsid w:val="00440E5E"/>
    <w:rsid w:val="004B7AD8"/>
    <w:rsid w:val="006530DD"/>
    <w:rsid w:val="006571AB"/>
    <w:rsid w:val="00673524"/>
    <w:rsid w:val="006C1E71"/>
    <w:rsid w:val="006E1BFB"/>
    <w:rsid w:val="00770DA8"/>
    <w:rsid w:val="0077645E"/>
    <w:rsid w:val="007F498F"/>
    <w:rsid w:val="00825064"/>
    <w:rsid w:val="0088202B"/>
    <w:rsid w:val="008B2D99"/>
    <w:rsid w:val="00943791"/>
    <w:rsid w:val="009753DA"/>
    <w:rsid w:val="00A6019B"/>
    <w:rsid w:val="00A978FA"/>
    <w:rsid w:val="00BA0F6A"/>
    <w:rsid w:val="00D94EA7"/>
    <w:rsid w:val="00DE683C"/>
    <w:rsid w:val="00E13BBC"/>
    <w:rsid w:val="00E14CD0"/>
    <w:rsid w:val="00E337CF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1A31F8-F863-4F33-8347-5152D9CB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D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770DA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770DA8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0D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81"/>
  </w:style>
  <w:style w:type="paragraph" w:styleId="Footer">
    <w:name w:val="footer"/>
    <w:basedOn w:val="Normal"/>
    <w:link w:val="FooterChar"/>
    <w:uiPriority w:val="99"/>
    <w:unhideWhenUsed/>
    <w:rsid w:val="0024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81"/>
  </w:style>
  <w:style w:type="character" w:styleId="CommentReference">
    <w:name w:val="annotation reference"/>
    <w:basedOn w:val="DefaultParagraphFont"/>
    <w:uiPriority w:val="99"/>
    <w:semiHidden/>
    <w:unhideWhenUsed/>
    <w:rsid w:val="0065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2791-DF42-46ED-8E50-055CA29D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Adriaansen</dc:creator>
  <cp:keywords/>
  <dc:description/>
  <cp:lastModifiedBy>Diane Law</cp:lastModifiedBy>
  <cp:revision>2</cp:revision>
  <cp:lastPrinted>2018-01-12T06:06:00Z</cp:lastPrinted>
  <dcterms:created xsi:type="dcterms:W3CDTF">2018-01-12T06:33:00Z</dcterms:created>
  <dcterms:modified xsi:type="dcterms:W3CDTF">2018-01-12T06:33:00Z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-1107037989</vt:i4>
  </property>
  <property fmtid="{D5CDD505-2E9C-101B-9397-08002B2CF9AE}" pid="3" name="_NewReviewCycle">
    <vt:lpwstr/>
  </property>
  <property fmtid="{D5CDD505-2E9C-101B-9397-08002B2CF9AE}" pid="4" name="_EmailSubject">
    <vt:lpwstr>Current content - with mark up changes as at 12 Jan 18</vt:lpwstr>
  </property>
  <property fmtid="{D5CDD505-2E9C-101B-9397-08002B2CF9AE}" pid="5" name="_AuthorEmail">
    <vt:lpwstr>Diane.Law@oir.qld.gov.au</vt:lpwstr>
  </property>
  <property fmtid="{D5CDD505-2E9C-101B-9397-08002B2CF9AE}" pid="6" name="_AuthorEmailDisplayName">
    <vt:lpwstr>Diane Law</vt:lpwstr>
  </property>
  <property fmtid="{D5CDD505-2E9C-101B-9397-08002B2CF9AE}" pid="7" name="_PreviousAdHocReviewCycleID">
    <vt:i4>1334092218</vt:i4>
  </property>
</Properties>
</file>